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30" w:rsidRDefault="00122C30" w:rsidP="00122C30">
      <w:pPr>
        <w:ind w:left="6663"/>
      </w:pPr>
      <w:r>
        <w:t>ЗАТВЕРДЖЕНО</w:t>
      </w:r>
    </w:p>
    <w:p w:rsidR="00122C30" w:rsidRPr="00D67549" w:rsidRDefault="00122C30" w:rsidP="00122C30">
      <w:pPr>
        <w:ind w:left="6663"/>
        <w:rPr>
          <w:sz w:val="28"/>
          <w:szCs w:val="28"/>
        </w:rPr>
      </w:pPr>
      <w:r w:rsidRPr="00D67549">
        <w:rPr>
          <w:sz w:val="28"/>
          <w:szCs w:val="28"/>
        </w:rPr>
        <w:t>рішення районної ради</w:t>
      </w:r>
    </w:p>
    <w:p w:rsidR="00122C30" w:rsidRPr="004A07C8" w:rsidRDefault="00122C30" w:rsidP="00122C30">
      <w:pPr>
        <w:ind w:left="6663"/>
        <w:rPr>
          <w:sz w:val="28"/>
          <w:szCs w:val="28"/>
        </w:rPr>
      </w:pPr>
      <w:r w:rsidRPr="00D67549">
        <w:rPr>
          <w:sz w:val="28"/>
          <w:szCs w:val="28"/>
        </w:rPr>
        <w:t xml:space="preserve">від </w:t>
      </w:r>
      <w:r w:rsidRPr="004A07C8">
        <w:rPr>
          <w:sz w:val="28"/>
          <w:szCs w:val="28"/>
        </w:rPr>
        <w:t>________</w:t>
      </w:r>
      <w:r w:rsidRPr="00D67549">
        <w:rPr>
          <w:sz w:val="28"/>
          <w:szCs w:val="28"/>
        </w:rPr>
        <w:t>№</w:t>
      </w:r>
      <w:r w:rsidRPr="004A07C8">
        <w:rPr>
          <w:sz w:val="28"/>
          <w:szCs w:val="28"/>
        </w:rPr>
        <w:t>_______</w:t>
      </w:r>
    </w:p>
    <w:p w:rsidR="00122C30" w:rsidRDefault="00122C30" w:rsidP="00122C30">
      <w:pPr>
        <w:rPr>
          <w:sz w:val="28"/>
          <w:szCs w:val="28"/>
        </w:rPr>
      </w:pPr>
    </w:p>
    <w:p w:rsidR="005D6E9A" w:rsidRDefault="005D6E9A" w:rsidP="00162879">
      <w:pPr>
        <w:pStyle w:val="a6"/>
        <w:spacing w:before="0" w:after="0"/>
        <w:jc w:val="center"/>
        <w:rPr>
          <w:b/>
          <w:sz w:val="28"/>
          <w:szCs w:val="28"/>
          <w:lang w:val="uk-UA"/>
        </w:rPr>
      </w:pPr>
    </w:p>
    <w:p w:rsidR="006130A6" w:rsidRPr="00162879" w:rsidRDefault="006130A6" w:rsidP="007748BA">
      <w:pPr>
        <w:pStyle w:val="a6"/>
        <w:spacing w:before="0" w:after="0"/>
        <w:jc w:val="center"/>
        <w:rPr>
          <w:b/>
          <w:sz w:val="28"/>
          <w:szCs w:val="28"/>
          <w:lang w:val="uk-UA"/>
        </w:rPr>
      </w:pPr>
      <w:r w:rsidRPr="00162879">
        <w:rPr>
          <w:b/>
          <w:sz w:val="28"/>
          <w:szCs w:val="28"/>
          <w:lang w:val="uk-UA"/>
        </w:rPr>
        <w:t>ПО</w:t>
      </w:r>
      <w:r w:rsidR="00F22CB3" w:rsidRPr="00162879">
        <w:rPr>
          <w:b/>
          <w:sz w:val="28"/>
          <w:szCs w:val="28"/>
          <w:lang w:val="uk-UA"/>
        </w:rPr>
        <w:t>ЛОЖЕННЯ</w:t>
      </w:r>
    </w:p>
    <w:p w:rsidR="007748BA" w:rsidRDefault="006130A6" w:rsidP="007748BA">
      <w:pPr>
        <w:pStyle w:val="a6"/>
        <w:shd w:val="clear" w:color="auto" w:fill="FFFFFF"/>
        <w:spacing w:before="0" w:after="0"/>
        <w:jc w:val="center"/>
        <w:rPr>
          <w:rStyle w:val="a4"/>
          <w:sz w:val="28"/>
          <w:szCs w:val="28"/>
          <w:lang w:val="uk-UA"/>
        </w:rPr>
      </w:pPr>
      <w:r w:rsidRPr="00162879">
        <w:rPr>
          <w:b/>
          <w:sz w:val="28"/>
          <w:szCs w:val="28"/>
          <w:lang w:val="uk-UA"/>
        </w:rPr>
        <w:t xml:space="preserve">про порядок списання майна </w:t>
      </w:r>
      <w:r w:rsidR="007748BA">
        <w:rPr>
          <w:rStyle w:val="a4"/>
          <w:sz w:val="28"/>
          <w:szCs w:val="28"/>
          <w:lang w:val="uk-UA"/>
        </w:rPr>
        <w:t>спільної власності територіальних</w:t>
      </w:r>
    </w:p>
    <w:p w:rsidR="006130A6" w:rsidRPr="00162879" w:rsidRDefault="007748BA" w:rsidP="007748BA">
      <w:pPr>
        <w:pStyle w:val="a6"/>
        <w:spacing w:before="0" w:after="0"/>
        <w:ind w:right="-141"/>
        <w:jc w:val="center"/>
        <w:rPr>
          <w:b/>
          <w:sz w:val="28"/>
          <w:szCs w:val="28"/>
          <w:lang w:val="uk-UA"/>
        </w:rPr>
      </w:pPr>
      <w:r>
        <w:rPr>
          <w:rStyle w:val="a4"/>
          <w:sz w:val="28"/>
          <w:szCs w:val="28"/>
          <w:lang w:val="uk-UA"/>
        </w:rPr>
        <w:t xml:space="preserve">громад сіл, селища </w:t>
      </w:r>
      <w:r w:rsidR="00C47DEF" w:rsidRPr="00162879">
        <w:rPr>
          <w:b/>
          <w:sz w:val="28"/>
          <w:szCs w:val="28"/>
          <w:lang w:val="uk-UA"/>
        </w:rPr>
        <w:t>Ужгородського району</w:t>
      </w:r>
    </w:p>
    <w:p w:rsidR="00162879" w:rsidRPr="00162879" w:rsidRDefault="00162879" w:rsidP="00162879">
      <w:pPr>
        <w:pStyle w:val="3"/>
        <w:spacing w:before="0" w:after="0"/>
        <w:jc w:val="center"/>
        <w:rPr>
          <w:color w:val="000000" w:themeColor="text1"/>
          <w:sz w:val="28"/>
          <w:szCs w:val="28"/>
        </w:rPr>
      </w:pPr>
    </w:p>
    <w:p w:rsidR="00C47DEF" w:rsidRPr="00162879" w:rsidRDefault="003803B0" w:rsidP="002D0E32">
      <w:pPr>
        <w:pStyle w:val="3"/>
        <w:spacing w:before="0" w:after="0"/>
        <w:ind w:right="-141"/>
        <w:jc w:val="center"/>
        <w:rPr>
          <w:color w:val="000000" w:themeColor="text1"/>
          <w:sz w:val="28"/>
          <w:szCs w:val="28"/>
        </w:rPr>
      </w:pPr>
      <w:r w:rsidRPr="00162879">
        <w:rPr>
          <w:color w:val="000000" w:themeColor="text1"/>
          <w:sz w:val="28"/>
          <w:szCs w:val="28"/>
          <w:lang w:val="uk-UA"/>
        </w:rPr>
        <w:t xml:space="preserve">1. </w:t>
      </w:r>
      <w:r w:rsidR="00C47DEF" w:rsidRPr="00162879">
        <w:rPr>
          <w:color w:val="000000" w:themeColor="text1"/>
          <w:sz w:val="28"/>
          <w:szCs w:val="28"/>
        </w:rPr>
        <w:t>Загальна частина</w:t>
      </w:r>
    </w:p>
    <w:p w:rsidR="00C47DEF" w:rsidRPr="00162879" w:rsidRDefault="00C47DEF" w:rsidP="007748BA">
      <w:pPr>
        <w:pStyle w:val="a6"/>
        <w:shd w:val="clear" w:color="auto" w:fill="FFFFFF"/>
        <w:spacing w:before="0" w:after="0"/>
        <w:ind w:firstLine="708"/>
        <w:jc w:val="both"/>
        <w:rPr>
          <w:color w:val="000000" w:themeColor="text1"/>
          <w:sz w:val="28"/>
          <w:szCs w:val="28"/>
        </w:rPr>
      </w:pPr>
      <w:bookmarkStart w:id="0" w:name="22"/>
      <w:bookmarkEnd w:id="0"/>
      <w:r w:rsidRPr="00162879">
        <w:rPr>
          <w:color w:val="000000" w:themeColor="text1"/>
          <w:sz w:val="28"/>
          <w:szCs w:val="28"/>
        </w:rPr>
        <w:t>1.</w:t>
      </w:r>
      <w:r w:rsidR="00F22CB3" w:rsidRPr="00162879">
        <w:rPr>
          <w:color w:val="000000" w:themeColor="text1"/>
          <w:sz w:val="28"/>
          <w:szCs w:val="28"/>
          <w:lang w:val="uk-UA"/>
        </w:rPr>
        <w:t>1.</w:t>
      </w:r>
      <w:r w:rsidRPr="00162879">
        <w:rPr>
          <w:color w:val="000000" w:themeColor="text1"/>
          <w:sz w:val="28"/>
          <w:szCs w:val="28"/>
        </w:rPr>
        <w:t xml:space="preserve"> Це По</w:t>
      </w:r>
      <w:r w:rsidR="00F22CB3" w:rsidRPr="00162879">
        <w:rPr>
          <w:color w:val="000000" w:themeColor="text1"/>
          <w:sz w:val="28"/>
          <w:szCs w:val="28"/>
          <w:lang w:val="uk-UA"/>
        </w:rPr>
        <w:t>ложення</w:t>
      </w:r>
      <w:r w:rsidRPr="00162879">
        <w:rPr>
          <w:color w:val="000000" w:themeColor="text1"/>
          <w:sz w:val="28"/>
          <w:szCs w:val="28"/>
        </w:rPr>
        <w:t xml:space="preserve"> визначає механізм списання об'єктів </w:t>
      </w:r>
      <w:r w:rsidR="007748BA" w:rsidRPr="007748BA">
        <w:rPr>
          <w:rStyle w:val="a4"/>
          <w:b w:val="0"/>
          <w:sz w:val="28"/>
          <w:szCs w:val="28"/>
          <w:lang w:val="uk-UA"/>
        </w:rPr>
        <w:t>спільної власності територіальних громад сіл, селища</w:t>
      </w:r>
      <w:r w:rsidR="007748BA">
        <w:rPr>
          <w:rStyle w:val="a4"/>
          <w:sz w:val="28"/>
          <w:szCs w:val="28"/>
          <w:lang w:val="uk-UA"/>
        </w:rPr>
        <w:t xml:space="preserve"> </w:t>
      </w:r>
      <w:r w:rsidRPr="00162879">
        <w:rPr>
          <w:color w:val="000000" w:themeColor="text1"/>
          <w:sz w:val="28"/>
          <w:szCs w:val="28"/>
          <w:lang w:val="uk-UA"/>
        </w:rPr>
        <w:t>Ужгородського району</w:t>
      </w:r>
      <w:r w:rsidRPr="00162879">
        <w:rPr>
          <w:color w:val="000000" w:themeColor="text1"/>
          <w:sz w:val="28"/>
          <w:szCs w:val="28"/>
        </w:rPr>
        <w:t xml:space="preserve">, до яких належать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w:t>
      </w:r>
      <w:r w:rsidR="00CB0BDC" w:rsidRPr="00162879">
        <w:rPr>
          <w:color w:val="000000" w:themeColor="text1"/>
          <w:sz w:val="28"/>
          <w:szCs w:val="28"/>
          <w:lang w:val="uk-UA"/>
        </w:rPr>
        <w:t>М</w:t>
      </w:r>
      <w:r w:rsidRPr="00162879">
        <w:rPr>
          <w:color w:val="000000" w:themeColor="text1"/>
          <w:sz w:val="28"/>
          <w:szCs w:val="28"/>
        </w:rPr>
        <w:t>айно).</w:t>
      </w:r>
    </w:p>
    <w:p w:rsidR="00C47DEF" w:rsidRPr="00162879" w:rsidRDefault="003E0578" w:rsidP="002D0E32">
      <w:pPr>
        <w:pStyle w:val="a6"/>
        <w:spacing w:before="0" w:after="0"/>
        <w:ind w:right="-141" w:firstLine="708"/>
        <w:jc w:val="both"/>
        <w:rPr>
          <w:color w:val="000000" w:themeColor="text1"/>
          <w:sz w:val="28"/>
          <w:szCs w:val="28"/>
        </w:rPr>
      </w:pPr>
      <w:bookmarkStart w:id="1" w:name="23"/>
      <w:bookmarkEnd w:id="1"/>
      <w:r w:rsidRPr="00162879">
        <w:rPr>
          <w:color w:val="000000" w:themeColor="text1"/>
          <w:sz w:val="28"/>
          <w:szCs w:val="28"/>
          <w:lang w:val="uk-UA"/>
        </w:rPr>
        <w:t xml:space="preserve">1.2. </w:t>
      </w:r>
      <w:r w:rsidR="00C47DEF" w:rsidRPr="00162879">
        <w:rPr>
          <w:color w:val="000000" w:themeColor="text1"/>
          <w:sz w:val="28"/>
          <w:szCs w:val="28"/>
        </w:rPr>
        <w:t>Списання майна здійснюється у спосіб, передбачений цим По</w:t>
      </w:r>
      <w:r w:rsidR="00F22CB3" w:rsidRPr="00162879">
        <w:rPr>
          <w:color w:val="000000" w:themeColor="text1"/>
          <w:sz w:val="28"/>
          <w:szCs w:val="28"/>
          <w:lang w:val="uk-UA"/>
        </w:rPr>
        <w:t>ложенням</w:t>
      </w:r>
      <w:r w:rsidR="00C47DEF" w:rsidRPr="00162879">
        <w:rPr>
          <w:color w:val="000000" w:themeColor="text1"/>
          <w:sz w:val="28"/>
          <w:szCs w:val="28"/>
        </w:rPr>
        <w:t>.</w:t>
      </w:r>
    </w:p>
    <w:p w:rsidR="00C47DEF" w:rsidRPr="00162879" w:rsidRDefault="003E0578" w:rsidP="002D0E32">
      <w:pPr>
        <w:pStyle w:val="a6"/>
        <w:spacing w:before="0" w:after="0"/>
        <w:ind w:right="-141" w:firstLine="708"/>
        <w:jc w:val="both"/>
        <w:rPr>
          <w:color w:val="000000" w:themeColor="text1"/>
          <w:sz w:val="28"/>
          <w:szCs w:val="28"/>
          <w:lang w:val="uk-UA"/>
        </w:rPr>
      </w:pPr>
      <w:bookmarkStart w:id="2" w:name="24"/>
      <w:bookmarkEnd w:id="2"/>
      <w:r w:rsidRPr="00162879">
        <w:rPr>
          <w:color w:val="000000" w:themeColor="text1"/>
          <w:sz w:val="28"/>
          <w:szCs w:val="28"/>
          <w:lang w:val="uk-UA"/>
        </w:rPr>
        <w:t xml:space="preserve">1.3. </w:t>
      </w:r>
      <w:r w:rsidR="00C47DEF" w:rsidRPr="00162879">
        <w:rPr>
          <w:color w:val="000000" w:themeColor="text1"/>
          <w:sz w:val="28"/>
          <w:szCs w:val="28"/>
          <w:lang w:val="uk-UA"/>
        </w:rPr>
        <w:t>У цьому По</w:t>
      </w:r>
      <w:r w:rsidR="00F22CB3" w:rsidRPr="00162879">
        <w:rPr>
          <w:color w:val="000000" w:themeColor="text1"/>
          <w:sz w:val="28"/>
          <w:szCs w:val="28"/>
          <w:lang w:val="uk-UA"/>
        </w:rPr>
        <w:t>ложенні</w:t>
      </w:r>
      <w:r w:rsidR="00C47DEF" w:rsidRPr="00162879">
        <w:rPr>
          <w:color w:val="000000" w:themeColor="text1"/>
          <w:sz w:val="28"/>
          <w:szCs w:val="28"/>
          <w:lang w:val="uk-UA"/>
        </w:rPr>
        <w:t xml:space="preserve"> суб'єктами господарювання є комунальні підприємства (їх об'єднання), установи та організації територіальн</w:t>
      </w:r>
      <w:r w:rsidR="00C06CAB">
        <w:rPr>
          <w:color w:val="000000" w:themeColor="text1"/>
          <w:sz w:val="28"/>
          <w:szCs w:val="28"/>
          <w:lang w:val="uk-UA"/>
        </w:rPr>
        <w:t>их</w:t>
      </w:r>
      <w:r w:rsidR="00C47DEF" w:rsidRPr="00162879">
        <w:rPr>
          <w:color w:val="000000" w:themeColor="text1"/>
          <w:sz w:val="28"/>
          <w:szCs w:val="28"/>
          <w:lang w:val="uk-UA"/>
        </w:rPr>
        <w:t xml:space="preserve"> громад Ужгородського району, або інші юридичні особи, на балансі яких перебуває майно.</w:t>
      </w:r>
    </w:p>
    <w:p w:rsidR="00C47DEF" w:rsidRPr="00162879" w:rsidRDefault="003E0578" w:rsidP="002D0E32">
      <w:pPr>
        <w:pStyle w:val="a6"/>
        <w:spacing w:before="0" w:after="0"/>
        <w:ind w:right="-141" w:firstLine="708"/>
        <w:jc w:val="both"/>
        <w:rPr>
          <w:color w:val="000000" w:themeColor="text1"/>
          <w:sz w:val="28"/>
          <w:szCs w:val="28"/>
        </w:rPr>
      </w:pPr>
      <w:bookmarkStart w:id="3" w:name="25"/>
      <w:bookmarkEnd w:id="3"/>
      <w:r w:rsidRPr="00162879">
        <w:rPr>
          <w:color w:val="000000" w:themeColor="text1"/>
          <w:sz w:val="28"/>
          <w:szCs w:val="28"/>
          <w:lang w:val="uk-UA"/>
        </w:rPr>
        <w:t xml:space="preserve">1.4. </w:t>
      </w:r>
      <w:r w:rsidR="00C47DEF" w:rsidRPr="00162879">
        <w:rPr>
          <w:color w:val="000000" w:themeColor="text1"/>
          <w:sz w:val="28"/>
          <w:szCs w:val="28"/>
        </w:rPr>
        <w:t>Терміни, які використовуються у цьому По</w:t>
      </w:r>
      <w:r w:rsidR="00F22CB3" w:rsidRPr="00162879">
        <w:rPr>
          <w:color w:val="000000" w:themeColor="text1"/>
          <w:sz w:val="28"/>
          <w:szCs w:val="28"/>
          <w:lang w:val="uk-UA"/>
        </w:rPr>
        <w:t>ложенні</w:t>
      </w:r>
      <w:r w:rsidR="00C47DEF" w:rsidRPr="00162879">
        <w:rPr>
          <w:color w:val="000000" w:themeColor="text1"/>
          <w:sz w:val="28"/>
          <w:szCs w:val="28"/>
        </w:rPr>
        <w:t>,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w:t>
      </w:r>
    </w:p>
    <w:p w:rsidR="006130A6" w:rsidRPr="005D6E9A" w:rsidRDefault="006130A6" w:rsidP="002D0E32">
      <w:pPr>
        <w:pStyle w:val="a6"/>
        <w:spacing w:before="0" w:after="0"/>
        <w:ind w:right="-141" w:firstLine="708"/>
        <w:jc w:val="both"/>
        <w:rPr>
          <w:sz w:val="28"/>
          <w:szCs w:val="28"/>
          <w:lang w:val="uk-UA"/>
        </w:rPr>
      </w:pPr>
      <w:bookmarkStart w:id="4" w:name="26"/>
      <w:bookmarkEnd w:id="4"/>
      <w:r w:rsidRPr="005D6E9A">
        <w:rPr>
          <w:sz w:val="28"/>
          <w:szCs w:val="28"/>
          <w:lang w:val="uk-UA"/>
        </w:rPr>
        <w:t>1.</w:t>
      </w:r>
      <w:r w:rsidR="003E0578" w:rsidRPr="005D6E9A">
        <w:rPr>
          <w:sz w:val="28"/>
          <w:szCs w:val="28"/>
          <w:lang w:val="uk-UA"/>
        </w:rPr>
        <w:t>5</w:t>
      </w:r>
      <w:r w:rsidRPr="005D6E9A">
        <w:rPr>
          <w:sz w:val="28"/>
          <w:szCs w:val="28"/>
          <w:lang w:val="uk-UA"/>
        </w:rPr>
        <w:t xml:space="preserve">. Суб’єктом управління у цьому Положенні визначено </w:t>
      </w:r>
      <w:r w:rsidR="0044482B" w:rsidRPr="005D6E9A">
        <w:rPr>
          <w:sz w:val="28"/>
          <w:szCs w:val="28"/>
          <w:lang w:val="uk-UA"/>
        </w:rPr>
        <w:t>У</w:t>
      </w:r>
      <w:r w:rsidR="00916D8D">
        <w:rPr>
          <w:sz w:val="28"/>
          <w:szCs w:val="28"/>
          <w:lang w:val="uk-UA"/>
        </w:rPr>
        <w:t>жгородську</w:t>
      </w:r>
      <w:r w:rsidR="00C47DEF" w:rsidRPr="005D6E9A">
        <w:rPr>
          <w:sz w:val="28"/>
          <w:szCs w:val="28"/>
          <w:lang w:val="uk-UA"/>
        </w:rPr>
        <w:t xml:space="preserve"> районн</w:t>
      </w:r>
      <w:r w:rsidR="00916D8D">
        <w:rPr>
          <w:sz w:val="28"/>
          <w:szCs w:val="28"/>
          <w:lang w:val="uk-UA"/>
        </w:rPr>
        <w:t>у</w:t>
      </w:r>
      <w:r w:rsidRPr="005D6E9A">
        <w:rPr>
          <w:sz w:val="28"/>
          <w:szCs w:val="28"/>
          <w:lang w:val="uk-UA"/>
        </w:rPr>
        <w:t xml:space="preserve"> рад</w:t>
      </w:r>
      <w:r w:rsidR="00916D8D">
        <w:rPr>
          <w:sz w:val="28"/>
          <w:szCs w:val="28"/>
          <w:lang w:val="uk-UA"/>
        </w:rPr>
        <w:t>у</w:t>
      </w:r>
      <w:r w:rsidR="00DC4D8A" w:rsidRPr="005D6E9A">
        <w:rPr>
          <w:sz w:val="28"/>
          <w:szCs w:val="28"/>
          <w:lang w:val="uk-UA"/>
        </w:rPr>
        <w:t>.</w:t>
      </w:r>
      <w:r w:rsidRPr="005D6E9A">
        <w:rPr>
          <w:sz w:val="28"/>
          <w:szCs w:val="28"/>
          <w:lang w:val="uk-UA"/>
        </w:rPr>
        <w:t xml:space="preserve">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6</w:t>
      </w:r>
      <w:r w:rsidRPr="00162879">
        <w:rPr>
          <w:sz w:val="28"/>
          <w:szCs w:val="28"/>
          <w:lang w:val="uk-UA"/>
        </w:rPr>
        <w:t xml:space="preserve">. Дія цього Положення не поширюється на майно, порядок списання якого визначається окремими законами (об'єкти житлового фонду, військове майно, державний матеріальний резерв, об'єкти цивільної оборони, цілісні майнові комплекси підприємств тощо).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6</w:t>
      </w:r>
      <w:r w:rsidRPr="00162879">
        <w:rPr>
          <w:sz w:val="28"/>
          <w:szCs w:val="28"/>
          <w:lang w:val="uk-UA"/>
        </w:rPr>
        <w:t>.1.</w:t>
      </w:r>
      <w:r w:rsidR="00535991">
        <w:rPr>
          <w:sz w:val="28"/>
          <w:szCs w:val="28"/>
          <w:lang w:val="uk-UA"/>
        </w:rPr>
        <w:t> </w:t>
      </w:r>
      <w:r w:rsidRPr="00162879">
        <w:rPr>
          <w:sz w:val="28"/>
          <w:szCs w:val="28"/>
          <w:lang w:val="uk-UA"/>
        </w:rPr>
        <w:t xml:space="preserve">Необоротні матеріальні активи спеціального призначення списуються відповідно до положень законодавства, яке </w:t>
      </w:r>
      <w:r w:rsidR="00535991">
        <w:rPr>
          <w:sz w:val="28"/>
          <w:szCs w:val="28"/>
          <w:lang w:val="uk-UA"/>
        </w:rPr>
        <w:t>в</w:t>
      </w:r>
      <w:r w:rsidRPr="00162879">
        <w:rPr>
          <w:sz w:val="28"/>
          <w:szCs w:val="28"/>
          <w:lang w:val="uk-UA"/>
        </w:rPr>
        <w:t xml:space="preserve">раховує специфіку їх збереження, використання, списання, утилізації тощо. </w:t>
      </w:r>
    </w:p>
    <w:p w:rsidR="006130A6" w:rsidRPr="00C40E89" w:rsidRDefault="006130A6" w:rsidP="002D0E32">
      <w:pPr>
        <w:shd w:val="clear" w:color="auto" w:fill="FFFFFF"/>
        <w:suppressAutoHyphens w:val="0"/>
        <w:ind w:right="-141" w:firstLine="708"/>
        <w:jc w:val="both"/>
        <w:rPr>
          <w:sz w:val="28"/>
          <w:szCs w:val="28"/>
          <w:lang w:val="uk-UA"/>
        </w:rPr>
      </w:pPr>
      <w:r w:rsidRPr="005D6E9A">
        <w:rPr>
          <w:sz w:val="28"/>
          <w:szCs w:val="28"/>
          <w:lang w:val="uk-UA"/>
        </w:rPr>
        <w:t>1.</w:t>
      </w:r>
      <w:r w:rsidR="003E0578" w:rsidRPr="005D6E9A">
        <w:rPr>
          <w:sz w:val="28"/>
          <w:szCs w:val="28"/>
          <w:lang w:val="uk-UA"/>
        </w:rPr>
        <w:t>6</w:t>
      </w:r>
      <w:r w:rsidRPr="005D6E9A">
        <w:rPr>
          <w:sz w:val="28"/>
          <w:szCs w:val="28"/>
          <w:lang w:val="uk-UA"/>
        </w:rPr>
        <w:t>.2. Запаси списуються</w:t>
      </w:r>
      <w:r w:rsidR="005D6E9A" w:rsidRPr="005D6E9A">
        <w:rPr>
          <w:sz w:val="28"/>
          <w:szCs w:val="28"/>
          <w:lang w:val="uk-UA"/>
        </w:rPr>
        <w:t xml:space="preserve"> відповідно до наказу </w:t>
      </w:r>
      <w:r w:rsidR="005D6E9A" w:rsidRPr="006A31D3">
        <w:rPr>
          <w:sz w:val="28"/>
          <w:szCs w:val="28"/>
          <w:lang w:val="uk-UA"/>
        </w:rPr>
        <w:t>М</w:t>
      </w:r>
      <w:r w:rsidRPr="005D6E9A">
        <w:rPr>
          <w:rStyle w:val="a4"/>
          <w:b w:val="0"/>
          <w:sz w:val="28"/>
          <w:szCs w:val="28"/>
          <w:lang w:val="uk-UA"/>
        </w:rPr>
        <w:t xml:space="preserve">іністерства фінансів </w:t>
      </w:r>
      <w:r w:rsidRPr="00C40E89">
        <w:rPr>
          <w:rStyle w:val="a4"/>
          <w:b w:val="0"/>
          <w:sz w:val="28"/>
          <w:szCs w:val="28"/>
          <w:lang w:val="uk-UA"/>
        </w:rPr>
        <w:t xml:space="preserve">України від </w:t>
      </w:r>
      <w:r w:rsidR="005D6E9A" w:rsidRPr="00C40E89">
        <w:rPr>
          <w:bCs/>
          <w:sz w:val="28"/>
          <w:szCs w:val="28"/>
          <w:lang w:val="uk-UA" w:eastAsia="ru-RU"/>
        </w:rPr>
        <w:t>29.12.2015</w:t>
      </w:r>
      <w:r w:rsidR="005D6E9A" w:rsidRPr="00C40E89">
        <w:rPr>
          <w:bCs/>
          <w:sz w:val="28"/>
          <w:szCs w:val="28"/>
          <w:lang w:eastAsia="ru-RU"/>
        </w:rPr>
        <w:t> </w:t>
      </w:r>
      <w:r w:rsidR="005D6E9A" w:rsidRPr="00C40E89">
        <w:rPr>
          <w:bCs/>
          <w:sz w:val="28"/>
          <w:szCs w:val="28"/>
          <w:lang w:val="uk-UA" w:eastAsia="ru-RU"/>
        </w:rPr>
        <w:t xml:space="preserve"> № 1219 </w:t>
      </w:r>
      <w:r w:rsidRPr="00C40E89">
        <w:rPr>
          <w:rStyle w:val="a4"/>
          <w:sz w:val="28"/>
          <w:szCs w:val="28"/>
          <w:lang w:val="uk-UA"/>
        </w:rPr>
        <w:t xml:space="preserve"> </w:t>
      </w:r>
      <w:r w:rsidRPr="00C40E89">
        <w:rPr>
          <w:sz w:val="28"/>
          <w:szCs w:val="28"/>
          <w:lang w:val="uk-UA"/>
        </w:rPr>
        <w:t>«</w:t>
      </w:r>
      <w:r w:rsidR="005D6E9A" w:rsidRPr="00C40E89">
        <w:rPr>
          <w:bCs/>
          <w:sz w:val="28"/>
          <w:szCs w:val="28"/>
          <w:lang w:val="uk-UA" w:eastAsia="ru-RU"/>
        </w:rPr>
        <w:t>Про затвердження деяких нормативно</w:t>
      </w:r>
      <w:r w:rsidR="005D6E9A" w:rsidRPr="00C40E89">
        <w:rPr>
          <w:b/>
          <w:bCs/>
          <w:sz w:val="28"/>
          <w:szCs w:val="28"/>
          <w:lang w:val="uk-UA" w:eastAsia="ru-RU"/>
        </w:rPr>
        <w:t>-</w:t>
      </w:r>
      <w:r w:rsidR="005D6E9A" w:rsidRPr="00C40E89">
        <w:rPr>
          <w:bCs/>
          <w:sz w:val="28"/>
          <w:szCs w:val="28"/>
          <w:lang w:val="uk-UA" w:eastAsia="ru-RU"/>
        </w:rPr>
        <w:t>правових актів з бухгалтерського обліку в державному секторі»</w:t>
      </w:r>
      <w:r w:rsidR="008D4A93" w:rsidRPr="00C40E89">
        <w:rPr>
          <w:bCs/>
          <w:sz w:val="28"/>
          <w:szCs w:val="28"/>
          <w:lang w:val="uk-UA" w:eastAsia="ru-RU"/>
        </w:rPr>
        <w:t xml:space="preserve"> </w:t>
      </w:r>
      <w:r w:rsidRPr="00C40E89">
        <w:rPr>
          <w:sz w:val="28"/>
          <w:szCs w:val="28"/>
          <w:lang w:val="uk-UA"/>
        </w:rPr>
        <w:t>та Положення (стандарт) бухгалтерського обліку 9 «Запаси», затвердженого наказом Міністерства фінансів України від 20 жовтня 1999</w:t>
      </w:r>
      <w:r w:rsidR="0044482B" w:rsidRPr="00C40E89">
        <w:rPr>
          <w:sz w:val="28"/>
          <w:szCs w:val="28"/>
          <w:lang w:val="uk-UA"/>
        </w:rPr>
        <w:t xml:space="preserve"> року №</w:t>
      </w:r>
      <w:r w:rsidRPr="00C40E89">
        <w:rPr>
          <w:sz w:val="28"/>
          <w:szCs w:val="28"/>
          <w:lang w:val="uk-UA"/>
        </w:rPr>
        <w:t>246 «Про затвердження Положення (стандарту) бухгалтерського обліку».</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7</w:t>
      </w:r>
      <w:r w:rsidRPr="00162879">
        <w:rPr>
          <w:sz w:val="28"/>
          <w:szCs w:val="28"/>
          <w:lang w:val="uk-UA"/>
        </w:rPr>
        <w:t>. Відповідно цього Положення списанню підлягає майно:</w:t>
      </w:r>
    </w:p>
    <w:p w:rsidR="003E0578" w:rsidRPr="00162879" w:rsidRDefault="003E0578" w:rsidP="0096163A">
      <w:pPr>
        <w:pStyle w:val="a6"/>
        <w:spacing w:before="0" w:after="0"/>
        <w:ind w:right="-141" w:firstLine="708"/>
        <w:jc w:val="both"/>
        <w:rPr>
          <w:color w:val="000000" w:themeColor="text1"/>
          <w:sz w:val="28"/>
          <w:szCs w:val="28"/>
        </w:rPr>
      </w:pPr>
      <w:r w:rsidRPr="00162879">
        <w:rPr>
          <w:color w:val="000000" w:themeColor="text1"/>
          <w:sz w:val="28"/>
          <w:szCs w:val="28"/>
          <w:lang w:val="uk-UA"/>
        </w:rPr>
        <w:t>-</w:t>
      </w:r>
      <w:r w:rsidR="003364BC" w:rsidRPr="00162879">
        <w:rPr>
          <w:color w:val="000000" w:themeColor="text1"/>
          <w:sz w:val="28"/>
          <w:szCs w:val="28"/>
          <w:lang w:val="uk-UA"/>
        </w:rPr>
        <w:t xml:space="preserve"> </w:t>
      </w:r>
      <w:r w:rsidRPr="00162879">
        <w:rPr>
          <w:color w:val="000000" w:themeColor="text1"/>
          <w:sz w:val="28"/>
          <w:szCs w:val="28"/>
        </w:rPr>
        <w:t>закріплене на праві господарського відання або оперативного управління за комунальними підприємствами (їх об'єднаннями), установами та організаціями територіальн</w:t>
      </w:r>
      <w:r w:rsidR="00C40E89">
        <w:rPr>
          <w:color w:val="000000" w:themeColor="text1"/>
          <w:sz w:val="28"/>
          <w:szCs w:val="28"/>
          <w:lang w:val="uk-UA"/>
        </w:rPr>
        <w:t>их</w:t>
      </w:r>
      <w:r w:rsidR="00C40E89">
        <w:rPr>
          <w:color w:val="000000" w:themeColor="text1"/>
          <w:sz w:val="28"/>
          <w:szCs w:val="28"/>
        </w:rPr>
        <w:t xml:space="preserve"> громад</w:t>
      </w:r>
      <w:r w:rsidRPr="00162879">
        <w:rPr>
          <w:color w:val="000000" w:themeColor="text1"/>
          <w:sz w:val="28"/>
          <w:szCs w:val="28"/>
        </w:rPr>
        <w:t xml:space="preserve"> </w:t>
      </w:r>
      <w:r w:rsidR="0044482B" w:rsidRPr="00162879">
        <w:rPr>
          <w:color w:val="000000" w:themeColor="text1"/>
          <w:sz w:val="28"/>
          <w:szCs w:val="28"/>
          <w:lang w:val="uk-UA"/>
        </w:rPr>
        <w:t xml:space="preserve">сіл, селища </w:t>
      </w:r>
      <w:r w:rsidRPr="00162879">
        <w:rPr>
          <w:color w:val="000000" w:themeColor="text1"/>
          <w:sz w:val="28"/>
          <w:szCs w:val="28"/>
          <w:lang w:val="uk-UA"/>
        </w:rPr>
        <w:t>Ужгородського району</w:t>
      </w:r>
      <w:r w:rsidRPr="00162879">
        <w:rPr>
          <w:color w:val="000000" w:themeColor="text1"/>
          <w:sz w:val="28"/>
          <w:szCs w:val="28"/>
        </w:rPr>
        <w:t>;</w:t>
      </w:r>
    </w:p>
    <w:p w:rsidR="003E0578" w:rsidRPr="00162879" w:rsidRDefault="003E0578" w:rsidP="0096163A">
      <w:pPr>
        <w:pStyle w:val="a6"/>
        <w:spacing w:before="0" w:after="0"/>
        <w:ind w:right="-141" w:firstLine="708"/>
        <w:jc w:val="both"/>
        <w:rPr>
          <w:color w:val="000000" w:themeColor="text1"/>
          <w:sz w:val="28"/>
          <w:szCs w:val="28"/>
        </w:rPr>
      </w:pPr>
      <w:bookmarkStart w:id="5" w:name="28"/>
      <w:bookmarkEnd w:id="5"/>
      <w:r w:rsidRPr="00162879">
        <w:rPr>
          <w:color w:val="000000" w:themeColor="text1"/>
          <w:sz w:val="28"/>
          <w:szCs w:val="28"/>
        </w:rPr>
        <w:lastRenderedPageBreak/>
        <w:t>- що не ввійшло до статутного капіталу господарських товариств у процесі приватизації (корпоратизації), але перебуває на їх балансі;</w:t>
      </w:r>
    </w:p>
    <w:p w:rsidR="003E0578" w:rsidRPr="00162879" w:rsidRDefault="003E0578" w:rsidP="0096163A">
      <w:pPr>
        <w:pStyle w:val="a6"/>
        <w:spacing w:before="0" w:after="0"/>
        <w:ind w:right="-141" w:firstLine="708"/>
        <w:jc w:val="both"/>
        <w:rPr>
          <w:color w:val="000000" w:themeColor="text1"/>
          <w:sz w:val="28"/>
          <w:szCs w:val="28"/>
        </w:rPr>
      </w:pPr>
      <w:bookmarkStart w:id="6" w:name="29"/>
      <w:bookmarkEnd w:id="6"/>
      <w:r w:rsidRPr="00162879">
        <w:rPr>
          <w:color w:val="000000" w:themeColor="text1"/>
          <w:sz w:val="28"/>
          <w:szCs w:val="28"/>
        </w:rPr>
        <w:t xml:space="preserve">- яке перебуває на балансі інших юридичних осіб (на підставах, визначених окремими рішеннями </w:t>
      </w:r>
      <w:r w:rsidRPr="00162879">
        <w:rPr>
          <w:color w:val="000000" w:themeColor="text1"/>
          <w:sz w:val="28"/>
          <w:szCs w:val="28"/>
          <w:lang w:val="uk-UA"/>
        </w:rPr>
        <w:t>Ужгородської районної</w:t>
      </w:r>
      <w:r w:rsidRPr="00162879">
        <w:rPr>
          <w:color w:val="000000" w:themeColor="text1"/>
          <w:sz w:val="28"/>
          <w:szCs w:val="28"/>
        </w:rPr>
        <w:t xml:space="preserve"> ради, прийнятими відповідно</w:t>
      </w:r>
      <w:r w:rsidR="0044482B" w:rsidRPr="00162879">
        <w:rPr>
          <w:color w:val="000000" w:themeColor="text1"/>
          <w:sz w:val="28"/>
          <w:szCs w:val="28"/>
          <w:lang w:val="uk-UA"/>
        </w:rPr>
        <w:t xml:space="preserve"> </w:t>
      </w:r>
      <w:r w:rsidRPr="00162879">
        <w:rPr>
          <w:color w:val="000000" w:themeColor="text1"/>
          <w:sz w:val="28"/>
          <w:szCs w:val="28"/>
        </w:rPr>
        <w:t xml:space="preserve">до статті </w:t>
      </w:r>
      <w:r w:rsidR="0044482B" w:rsidRPr="00162879">
        <w:rPr>
          <w:color w:val="000000" w:themeColor="text1"/>
          <w:sz w:val="28"/>
          <w:szCs w:val="28"/>
          <w:lang w:val="uk-UA"/>
        </w:rPr>
        <w:t>60</w:t>
      </w:r>
      <w:r w:rsidRPr="00162879">
        <w:rPr>
          <w:color w:val="000000" w:themeColor="text1"/>
          <w:sz w:val="28"/>
          <w:szCs w:val="28"/>
        </w:rPr>
        <w:t xml:space="preserve"> Закону України </w:t>
      </w:r>
      <w:r w:rsidR="0044482B" w:rsidRPr="00162879">
        <w:rPr>
          <w:color w:val="000000" w:themeColor="text1"/>
          <w:sz w:val="28"/>
          <w:szCs w:val="28"/>
          <w:lang w:val="uk-UA"/>
        </w:rPr>
        <w:t>«</w:t>
      </w:r>
      <w:r w:rsidRPr="00162879">
        <w:rPr>
          <w:color w:val="000000" w:themeColor="text1"/>
          <w:sz w:val="28"/>
          <w:szCs w:val="28"/>
        </w:rPr>
        <w:t>Про місцеве самоврядування в Україні</w:t>
      </w:r>
      <w:r w:rsidR="0044482B" w:rsidRPr="00162879">
        <w:rPr>
          <w:color w:val="000000" w:themeColor="text1"/>
          <w:sz w:val="28"/>
          <w:szCs w:val="28"/>
          <w:lang w:val="uk-UA"/>
        </w:rPr>
        <w:t>»</w:t>
      </w:r>
      <w:r w:rsidRPr="00162879">
        <w:rPr>
          <w:color w:val="000000" w:themeColor="text1"/>
          <w:sz w:val="28"/>
          <w:szCs w:val="28"/>
        </w:rPr>
        <w:t>).</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7</w:t>
      </w:r>
      <w:r w:rsidRPr="00162879">
        <w:rPr>
          <w:sz w:val="28"/>
          <w:szCs w:val="28"/>
          <w:lang w:val="uk-UA"/>
        </w:rPr>
        <w:t>.1. що не може бути в установленому порядку відчужене, безоплатно передане комунальним підприємствам, установам чи організаціям та щодо якого не можуть бути застосовані інші способи управління (або їх застосування може бути економічно недоцільне);</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7</w:t>
      </w:r>
      <w:r w:rsidRPr="00162879">
        <w:rPr>
          <w:sz w:val="28"/>
          <w:szCs w:val="28"/>
          <w:lang w:val="uk-UA"/>
        </w:rPr>
        <w:t xml:space="preserve">.2. морально 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7</w:t>
      </w:r>
      <w:r w:rsidRPr="00162879">
        <w:rPr>
          <w:sz w:val="28"/>
          <w:szCs w:val="28"/>
          <w:lang w:val="uk-UA"/>
        </w:rPr>
        <w:t xml:space="preserve">.3. пошкоджене внаслідок аварії чи стихійного лиха та відновленню не підлягає;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7</w:t>
      </w:r>
      <w:r w:rsidRPr="00162879">
        <w:rPr>
          <w:sz w:val="28"/>
          <w:szCs w:val="28"/>
          <w:lang w:val="uk-UA"/>
        </w:rPr>
        <w:t xml:space="preserve">.4. майно виявлене в результаті інвентаризації як нестача. 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 </w:t>
      </w:r>
    </w:p>
    <w:p w:rsidR="003E0578" w:rsidRPr="00162879" w:rsidRDefault="003E0578" w:rsidP="002D0E32">
      <w:pPr>
        <w:pStyle w:val="a6"/>
        <w:spacing w:before="0" w:after="0"/>
        <w:ind w:right="-141" w:firstLine="708"/>
        <w:jc w:val="both"/>
        <w:rPr>
          <w:sz w:val="28"/>
          <w:szCs w:val="28"/>
          <w:lang w:val="uk-UA"/>
        </w:rPr>
      </w:pPr>
      <w:r w:rsidRPr="00162879">
        <w:rPr>
          <w:color w:val="000000" w:themeColor="text1"/>
          <w:sz w:val="28"/>
          <w:szCs w:val="28"/>
          <w:lang w:val="uk-UA"/>
        </w:rPr>
        <w:t>1.7.5. Списанню також підлягають основні засоби, які не були продані на електронних торгах (аукціонах) з використанням електронної торгової системи "</w:t>
      </w:r>
      <w:r w:rsidRPr="00162879">
        <w:rPr>
          <w:color w:val="000000" w:themeColor="text1"/>
          <w:sz w:val="28"/>
          <w:szCs w:val="28"/>
        </w:rPr>
        <w:t>ProZorro</w:t>
      </w:r>
      <w:r w:rsidRPr="00162879">
        <w:rPr>
          <w:color w:val="000000" w:themeColor="text1"/>
          <w:sz w:val="28"/>
          <w:szCs w:val="28"/>
          <w:lang w:val="uk-UA"/>
        </w:rPr>
        <w:t>.Продажі", у тому числі, методом покрокового зниження стартової ціни та подальшого подання цінових пропозицій через відсутність попиту з боку потенційних покупців</w:t>
      </w:r>
      <w:r w:rsidR="0096163A">
        <w:rPr>
          <w:color w:val="000000" w:themeColor="text1"/>
          <w:sz w:val="28"/>
          <w:szCs w:val="28"/>
          <w:lang w:val="uk-UA"/>
        </w:rPr>
        <w:t>.</w:t>
      </w:r>
    </w:p>
    <w:p w:rsidR="006130A6" w:rsidRPr="00D279F7" w:rsidRDefault="006130A6" w:rsidP="002D0E32">
      <w:pPr>
        <w:pStyle w:val="a6"/>
        <w:spacing w:before="0" w:after="0"/>
        <w:ind w:right="-141" w:firstLine="708"/>
        <w:jc w:val="both"/>
        <w:rPr>
          <w:sz w:val="28"/>
          <w:szCs w:val="28"/>
          <w:lang w:val="uk-UA"/>
        </w:rPr>
      </w:pPr>
      <w:r w:rsidRPr="00162879">
        <w:rPr>
          <w:sz w:val="28"/>
          <w:szCs w:val="28"/>
          <w:lang w:val="uk-UA"/>
        </w:rPr>
        <w:t>1.</w:t>
      </w:r>
      <w:r w:rsidR="003E0578" w:rsidRPr="00162879">
        <w:rPr>
          <w:sz w:val="28"/>
          <w:szCs w:val="28"/>
          <w:lang w:val="uk-UA"/>
        </w:rPr>
        <w:t>8</w:t>
      </w:r>
      <w:r w:rsidRPr="00162879">
        <w:rPr>
          <w:sz w:val="28"/>
          <w:szCs w:val="28"/>
          <w:lang w:val="uk-UA"/>
        </w:rPr>
        <w:t xml:space="preserve">. Відшкодування сум збитків здійснюється відповідно </w:t>
      </w:r>
      <w:r w:rsidRPr="00D279F7">
        <w:rPr>
          <w:sz w:val="28"/>
          <w:szCs w:val="28"/>
          <w:lang w:val="uk-UA"/>
        </w:rPr>
        <w:t xml:space="preserve">до Закону України «Про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та постанови Кабінету Міністрів України від 22.01.1996 </w:t>
      </w:r>
      <w:r w:rsidR="00A1034C" w:rsidRPr="00D279F7">
        <w:rPr>
          <w:sz w:val="28"/>
          <w:szCs w:val="28"/>
          <w:lang w:val="uk-UA"/>
        </w:rPr>
        <w:t>№</w:t>
      </w:r>
      <w:r w:rsidRPr="00D279F7">
        <w:rPr>
          <w:sz w:val="28"/>
          <w:szCs w:val="28"/>
          <w:lang w:val="uk-UA"/>
        </w:rPr>
        <w:t xml:space="preserve"> 116 «Про затвердження Порядку визначення розміру збитків від розкрадання, нестачі, знищення (псування) матеріальних цінностей».</w:t>
      </w:r>
    </w:p>
    <w:p w:rsidR="006C4684" w:rsidRDefault="006130A6" w:rsidP="002D0E32">
      <w:pPr>
        <w:pStyle w:val="3"/>
        <w:numPr>
          <w:ilvl w:val="7"/>
          <w:numId w:val="1"/>
        </w:numPr>
        <w:spacing w:before="0" w:after="0"/>
        <w:ind w:right="-141"/>
        <w:jc w:val="both"/>
        <w:rPr>
          <w:sz w:val="28"/>
          <w:szCs w:val="28"/>
          <w:lang w:val="uk-UA"/>
        </w:rPr>
      </w:pPr>
      <w:r w:rsidRPr="00162879">
        <w:rPr>
          <w:sz w:val="28"/>
          <w:szCs w:val="28"/>
          <w:lang w:val="uk-UA"/>
        </w:rPr>
        <w:t xml:space="preserve"> </w:t>
      </w:r>
      <w:r w:rsidRPr="00162879">
        <w:rPr>
          <w:sz w:val="28"/>
          <w:szCs w:val="28"/>
          <w:lang w:val="uk-UA"/>
        </w:rPr>
        <w:tab/>
      </w:r>
    </w:p>
    <w:p w:rsidR="006130A6" w:rsidRPr="00162879" w:rsidRDefault="006C4684" w:rsidP="002D0E32">
      <w:pPr>
        <w:pStyle w:val="3"/>
        <w:numPr>
          <w:ilvl w:val="8"/>
          <w:numId w:val="1"/>
        </w:numPr>
        <w:spacing w:before="0" w:after="0"/>
        <w:ind w:right="-141"/>
        <w:jc w:val="both"/>
        <w:rPr>
          <w:sz w:val="28"/>
          <w:szCs w:val="28"/>
          <w:lang w:val="uk-UA"/>
        </w:rPr>
      </w:pPr>
      <w:r>
        <w:rPr>
          <w:sz w:val="28"/>
          <w:szCs w:val="28"/>
          <w:lang w:val="uk-UA"/>
        </w:rPr>
        <w:t xml:space="preserve">                                    </w:t>
      </w:r>
      <w:r w:rsidR="006130A6" w:rsidRPr="00162879">
        <w:rPr>
          <w:sz w:val="28"/>
          <w:szCs w:val="28"/>
          <w:lang w:val="uk-UA"/>
        </w:rPr>
        <w:t xml:space="preserve">2. Прийняття рішення про списання майна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2.1. Списання майна здійснюється суб’єктом господарювання, на балансі якого воно перебуває, на підставі прийнятого суб’єктом управління рішення про надання згоди на його списання.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2.2. 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2.3. Списання повністю амортизованих основних фондів (засобів), інших необоротних матеріальних активів суб'єкта господарювання, первісна (переоцінена) вартість яких становить </w:t>
      </w:r>
      <w:r w:rsidR="00C70D71" w:rsidRPr="00162879">
        <w:rPr>
          <w:sz w:val="28"/>
          <w:szCs w:val="28"/>
          <w:lang w:val="uk-UA"/>
        </w:rPr>
        <w:t>до</w:t>
      </w:r>
      <w:r w:rsidRPr="00162879">
        <w:rPr>
          <w:sz w:val="28"/>
          <w:szCs w:val="28"/>
          <w:lang w:val="uk-UA"/>
        </w:rPr>
        <w:t xml:space="preserve"> </w:t>
      </w:r>
      <w:r w:rsidR="003E0578" w:rsidRPr="00162879">
        <w:rPr>
          <w:sz w:val="28"/>
          <w:szCs w:val="28"/>
          <w:lang w:val="uk-UA"/>
        </w:rPr>
        <w:t>2</w:t>
      </w:r>
      <w:r w:rsidR="00C70D71" w:rsidRPr="00162879">
        <w:rPr>
          <w:sz w:val="28"/>
          <w:szCs w:val="28"/>
          <w:lang w:val="uk-UA"/>
        </w:rPr>
        <w:t>0</w:t>
      </w:r>
      <w:r w:rsidRPr="00162879">
        <w:rPr>
          <w:sz w:val="28"/>
          <w:szCs w:val="28"/>
          <w:lang w:val="uk-UA"/>
        </w:rPr>
        <w:t xml:space="preserve"> тис. гривень, здійснюється за рішенням керівника такого суб'єкта господарювання відповідно до цього </w:t>
      </w:r>
      <w:r w:rsidRPr="00162879">
        <w:rPr>
          <w:sz w:val="28"/>
          <w:szCs w:val="28"/>
          <w:lang w:val="uk-UA"/>
        </w:rPr>
        <w:lastRenderedPageBreak/>
        <w:t xml:space="preserve">Положення (за винятком підприємств, щодо яких прийнято рішення про приватизацію), </w:t>
      </w:r>
      <w:r w:rsidR="00A1034C" w:rsidRPr="00162879">
        <w:rPr>
          <w:sz w:val="28"/>
          <w:szCs w:val="28"/>
          <w:lang w:val="uk-UA"/>
        </w:rPr>
        <w:t xml:space="preserve">списання на суму </w:t>
      </w:r>
      <w:r w:rsidRPr="00162879">
        <w:rPr>
          <w:sz w:val="28"/>
          <w:szCs w:val="28"/>
          <w:lang w:val="uk-UA"/>
        </w:rPr>
        <w:t xml:space="preserve">більше як </w:t>
      </w:r>
      <w:r w:rsidR="003E0578" w:rsidRPr="00162879">
        <w:rPr>
          <w:sz w:val="28"/>
          <w:szCs w:val="28"/>
          <w:lang w:val="uk-UA"/>
        </w:rPr>
        <w:t>2</w:t>
      </w:r>
      <w:r w:rsidRPr="00162879">
        <w:rPr>
          <w:sz w:val="28"/>
          <w:szCs w:val="28"/>
          <w:lang w:val="uk-UA"/>
        </w:rPr>
        <w:t xml:space="preserve">0 тис. гривень  здійснюється за рішенням </w:t>
      </w:r>
      <w:r w:rsidR="00C47DEF" w:rsidRPr="00162879">
        <w:rPr>
          <w:sz w:val="28"/>
          <w:szCs w:val="28"/>
          <w:lang w:val="uk-UA"/>
        </w:rPr>
        <w:t>районної</w:t>
      </w:r>
      <w:r w:rsidRPr="00162879">
        <w:rPr>
          <w:sz w:val="28"/>
          <w:szCs w:val="28"/>
          <w:lang w:val="uk-UA"/>
        </w:rPr>
        <w:t xml:space="preserve"> ради.</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2.4. Списання майна, що перебуває на балансі суб'єкта управління, здійснюється таким суб'єктом відповідно до цього Положення.</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2.5. З метою отримання згоди на списання майна суб’єкт господарювання подає суб'єкту управління разом із зверненням стосовно списання майна такі документи: </w:t>
      </w:r>
    </w:p>
    <w:p w:rsidR="006130A6" w:rsidRPr="00162879" w:rsidRDefault="000F3771" w:rsidP="002D0E32">
      <w:pPr>
        <w:pStyle w:val="a6"/>
        <w:spacing w:before="0" w:after="0"/>
        <w:ind w:right="-141" w:firstLine="708"/>
        <w:jc w:val="both"/>
        <w:rPr>
          <w:sz w:val="28"/>
          <w:szCs w:val="28"/>
          <w:lang w:val="uk-UA"/>
        </w:rPr>
      </w:pPr>
      <w:r>
        <w:rPr>
          <w:sz w:val="28"/>
          <w:szCs w:val="28"/>
          <w:lang w:val="uk-UA"/>
        </w:rPr>
        <w:t>2.5.1.</w:t>
      </w:r>
      <w:r w:rsidR="006130A6" w:rsidRPr="00162879">
        <w:rPr>
          <w:sz w:val="28"/>
          <w:szCs w:val="28"/>
          <w:lang w:val="uk-UA"/>
        </w:rPr>
        <w:t>відомості про майно, що пропонується списати за даними бухгалтерського обліку (крім об'єктів незавершеного будівництва</w:t>
      </w:r>
      <w:r w:rsidR="003A5538" w:rsidRPr="00162879">
        <w:rPr>
          <w:sz w:val="28"/>
          <w:szCs w:val="28"/>
        </w:rPr>
        <w:t>)</w:t>
      </w:r>
      <w:r w:rsidR="006130A6" w:rsidRPr="00162879">
        <w:rPr>
          <w:sz w:val="28"/>
          <w:szCs w:val="28"/>
          <w:lang w:val="uk-UA"/>
        </w:rPr>
        <w:t xml:space="preserve">;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2.5.2.акт інвентаризації май</w:t>
      </w:r>
      <w:r w:rsidR="003A5538" w:rsidRPr="00162879">
        <w:rPr>
          <w:sz w:val="28"/>
          <w:szCs w:val="28"/>
          <w:lang w:val="uk-UA"/>
        </w:rPr>
        <w:t>на, що пропонується до списання</w:t>
      </w:r>
      <w:r w:rsidRPr="00162879">
        <w:rPr>
          <w:sz w:val="28"/>
          <w:szCs w:val="28"/>
          <w:lang w:val="uk-UA"/>
        </w:rPr>
        <w:t xml:space="preserve">;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2.5.3.акт технічного стану майна, затверджений керівником суб'єкта господарюв</w:t>
      </w:r>
      <w:r w:rsidR="000F3771">
        <w:rPr>
          <w:sz w:val="28"/>
          <w:szCs w:val="28"/>
          <w:lang w:val="uk-UA"/>
        </w:rPr>
        <w:t>а</w:t>
      </w:r>
      <w:r w:rsidRPr="00162879">
        <w:rPr>
          <w:sz w:val="28"/>
          <w:szCs w:val="28"/>
          <w:lang w:val="uk-UA"/>
        </w:rPr>
        <w:t xml:space="preserve">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2.5.4.відомості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2.5.5.відомості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2.6. У разі потреби суб'єкт управління може запитувати від суб’єкта  господарювання додаткові документи, необхідні для прийняття рішення про списання майна (технічні паспорти, судові документи, витяги з реєстрів, висновки спеціалізованих організацій, договори тощо)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2.7. Рішення про надання чи відмову в наданні згоди на списання майна приймається відповідним суб'єктом управління протягом 30 днів з дати надходження документів, зазначених у пункті 2.5. цього Положення.</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2.8. Рішення про надання згоди на списання майна оформлюється у формі </w:t>
      </w:r>
      <w:r w:rsidR="003A5538" w:rsidRPr="00162879">
        <w:rPr>
          <w:sz w:val="28"/>
          <w:szCs w:val="28"/>
          <w:lang w:val="uk-UA"/>
        </w:rPr>
        <w:t>рішення</w:t>
      </w:r>
      <w:r w:rsidRPr="00162879">
        <w:rPr>
          <w:sz w:val="28"/>
          <w:szCs w:val="28"/>
          <w:lang w:val="uk-UA"/>
        </w:rPr>
        <w:t xml:space="preserve"> </w:t>
      </w:r>
      <w:r w:rsidR="00C70D71" w:rsidRPr="00162879">
        <w:rPr>
          <w:sz w:val="28"/>
          <w:szCs w:val="28"/>
          <w:lang w:val="uk-UA"/>
        </w:rPr>
        <w:t xml:space="preserve">сесії </w:t>
      </w:r>
      <w:r w:rsidR="00C47DEF" w:rsidRPr="00162879">
        <w:rPr>
          <w:sz w:val="28"/>
          <w:szCs w:val="28"/>
          <w:lang w:val="uk-UA"/>
        </w:rPr>
        <w:t>Ужгородської районної</w:t>
      </w:r>
      <w:r w:rsidRPr="00162879">
        <w:rPr>
          <w:sz w:val="28"/>
          <w:szCs w:val="28"/>
          <w:lang w:val="uk-UA"/>
        </w:rPr>
        <w:t xml:space="preserve"> ради, а про відмову в наданні такої згоди - у формі листа. Рішення про відмову в наданні згоди на списання майна приймається у разі, коли:</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2.8.1. майно не відповідає вимогам, визначеним у пункті 1.6. цього Положення;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2.8.2. суб'єкт управління визначив інші шляхи використання майна, що пропонується до списання;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2.8.3. суб’єкт господарювання подав передбачені цим Положенням документи з порушенням установлених вимог, а також коли в документах наявні суперечності;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2.8.4. відповідно до законодавства заборонено розпорядження майном. </w:t>
      </w:r>
    </w:p>
    <w:p w:rsidR="006130A6" w:rsidRPr="00162879" w:rsidRDefault="006130A6" w:rsidP="00C06CAB">
      <w:pPr>
        <w:pStyle w:val="a6"/>
        <w:spacing w:before="0" w:after="0"/>
        <w:ind w:right="-141" w:firstLine="708"/>
        <w:jc w:val="both"/>
        <w:rPr>
          <w:sz w:val="28"/>
          <w:szCs w:val="28"/>
          <w:lang w:val="uk-UA"/>
        </w:rPr>
      </w:pPr>
      <w:r w:rsidRPr="00162879">
        <w:rPr>
          <w:sz w:val="28"/>
          <w:szCs w:val="28"/>
          <w:lang w:val="uk-UA"/>
        </w:rPr>
        <w:t xml:space="preserve">2.9. У разі потреби комісія з розгляду питань стосовно списання майна може провести  додатковий огляд майна, що пропонується до списання. </w:t>
      </w:r>
    </w:p>
    <w:p w:rsidR="00E5526A" w:rsidRDefault="00E5526A" w:rsidP="00E5526A">
      <w:pPr>
        <w:pStyle w:val="3"/>
        <w:spacing w:before="0" w:after="0"/>
        <w:ind w:right="-141"/>
        <w:jc w:val="center"/>
        <w:rPr>
          <w:sz w:val="28"/>
          <w:szCs w:val="28"/>
          <w:lang w:val="uk-UA"/>
        </w:rPr>
      </w:pPr>
      <w:r>
        <w:rPr>
          <w:sz w:val="28"/>
          <w:szCs w:val="28"/>
          <w:lang w:val="uk-UA"/>
        </w:rPr>
        <w:t xml:space="preserve">         </w:t>
      </w:r>
    </w:p>
    <w:p w:rsidR="00E5526A" w:rsidRDefault="006130A6" w:rsidP="00E5526A">
      <w:pPr>
        <w:pStyle w:val="3"/>
        <w:spacing w:before="0" w:after="0"/>
        <w:ind w:right="-141"/>
        <w:jc w:val="center"/>
        <w:rPr>
          <w:sz w:val="28"/>
          <w:szCs w:val="28"/>
          <w:lang w:val="uk-UA"/>
        </w:rPr>
      </w:pPr>
      <w:r w:rsidRPr="00E5526A">
        <w:rPr>
          <w:sz w:val="28"/>
          <w:szCs w:val="28"/>
          <w:lang w:val="uk-UA"/>
        </w:rPr>
        <w:lastRenderedPageBreak/>
        <w:t>3. Утворення суб’єктом</w:t>
      </w:r>
      <w:r w:rsidR="00E5526A">
        <w:rPr>
          <w:sz w:val="28"/>
          <w:szCs w:val="28"/>
          <w:lang w:val="uk-UA"/>
        </w:rPr>
        <w:t xml:space="preserve"> </w:t>
      </w:r>
      <w:r w:rsidRPr="00E5526A">
        <w:rPr>
          <w:sz w:val="28"/>
          <w:szCs w:val="28"/>
          <w:lang w:val="uk-UA"/>
        </w:rPr>
        <w:t xml:space="preserve">господарювання </w:t>
      </w:r>
    </w:p>
    <w:p w:rsidR="006130A6" w:rsidRPr="00E5526A" w:rsidRDefault="006130A6" w:rsidP="00E5526A">
      <w:pPr>
        <w:pStyle w:val="3"/>
        <w:spacing w:before="0" w:after="0"/>
        <w:ind w:right="-141"/>
        <w:jc w:val="center"/>
        <w:rPr>
          <w:sz w:val="28"/>
          <w:szCs w:val="28"/>
          <w:lang w:val="uk-UA"/>
        </w:rPr>
      </w:pPr>
      <w:r w:rsidRPr="00E5526A">
        <w:rPr>
          <w:sz w:val="28"/>
          <w:szCs w:val="28"/>
          <w:lang w:val="uk-UA"/>
        </w:rPr>
        <w:t>комісії</w:t>
      </w:r>
      <w:r w:rsidR="00E5526A">
        <w:rPr>
          <w:sz w:val="28"/>
          <w:szCs w:val="28"/>
          <w:lang w:val="uk-UA"/>
        </w:rPr>
        <w:t xml:space="preserve"> </w:t>
      </w:r>
      <w:r w:rsidRPr="00E5526A">
        <w:rPr>
          <w:sz w:val="28"/>
          <w:szCs w:val="28"/>
          <w:lang w:val="uk-UA"/>
        </w:rPr>
        <w:t>із списання майна, її завдання та повноваження</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3.1. Для встановлення факту непридатності майна і неможливості та /або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утворюється комісія із списання майна (далі - </w:t>
      </w:r>
      <w:r w:rsidR="00A1034C" w:rsidRPr="00162879">
        <w:rPr>
          <w:sz w:val="28"/>
          <w:szCs w:val="28"/>
          <w:lang w:val="uk-UA"/>
        </w:rPr>
        <w:t>К</w:t>
      </w:r>
      <w:r w:rsidRPr="00162879">
        <w:rPr>
          <w:sz w:val="28"/>
          <w:szCs w:val="28"/>
          <w:lang w:val="uk-UA"/>
        </w:rPr>
        <w:t xml:space="preserve">омісія), головою якої є заступник керівника суб'єкта господарювання, а членами - головний бухгалтер або його заступник, працівники інженерних, технічних, технологічних, будівельних, обліково-економічних та інших служб суб’єкта  господарювання, а також залучені за вимогою суб'єкта управління його представники та інші фахівці.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3.2. Склад комісії затверджується розпорядчим актом за підписом керівника суб’єкта  господарювання.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3.3. Для встановлення факту непридатності використання майна, що перебуває під наглядом державних інспекцій (автомобілів, нагрівальних котлів, підйомників тощо), суб’єкт  господарювання залучає для участі в роботі комісії представника відповідної інспекції, який підписує акт про списання або передає комісії свій письмовий висновок, що додається до акта.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3.4. У разі потреби та/або необхідності врахування галузевих особливостей списання майна суб’єктом  господарювання можуть залучати для участі в роботі комісії фахівців відповідних центральних і місцевих органів виконавчої влади, органів місцевого самоврядування, правоохоронних органів тощо (за згодою).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3.5. У разі порушення проти суб’єкта  господарювання справи про банкрутство суб’єкт  управління, керівник суб'єкта господарювання або арбітражний керуючий утворює комісію, до складу якої включаються голова комісії - керівник суб'єкта господарювання або арбітражний керуючий та члени комісії, визначені у пунктах 3.1. – 3.4. цього Положення.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 Комісія: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3.6.1.проводить в установленому законодавством порядку інвентаризацію майна, що пропонується до списання, та за її результатами складає відповідний акт;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3.6.2.проводить огляд майна з використанням необхідної технічної документації (технічних паспортів, поетажних планів, відомостей про дефекти тощо), а також даних бухгалтерського обліку;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3.6.3.визначає економічну (технічну) доцільність чи недоцільність відновлення та/або подальшого використання майна і вносить відповідні пропозиції;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3.6.4.установлює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6130A6" w:rsidRPr="00162879" w:rsidRDefault="000F3771" w:rsidP="002D0E32">
      <w:pPr>
        <w:pStyle w:val="a6"/>
        <w:spacing w:before="0" w:after="0"/>
        <w:ind w:right="-141" w:firstLine="708"/>
        <w:jc w:val="both"/>
        <w:rPr>
          <w:sz w:val="28"/>
          <w:szCs w:val="28"/>
          <w:lang w:val="uk-UA"/>
        </w:rPr>
      </w:pPr>
      <w:r>
        <w:rPr>
          <w:sz w:val="28"/>
          <w:szCs w:val="28"/>
          <w:lang w:val="uk-UA"/>
        </w:rPr>
        <w:lastRenderedPageBreak/>
        <w:t>3.6.5.</w:t>
      </w:r>
      <w:r w:rsidR="006130A6" w:rsidRPr="00162879">
        <w:rPr>
          <w:sz w:val="28"/>
          <w:szCs w:val="28"/>
          <w:lang w:val="uk-UA"/>
        </w:rPr>
        <w:t xml:space="preserve">визначає можливості використання окремих вузлів, деталей, матеріалів та агрегатів об'єкта, що підлягає списанню;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3.6.6.здійснює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3.6.7.складає відповідно до законодавства акти на списання майна за встановленою типовою формою.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3.7. За результатами роботи складається протокол засідання комісії, до якого додаються: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3.7.1. акт інвентаризації майна, що пропонується до списання;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3.7.2. акти технічного стану майна, що пропонується до списання;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3.7.3. акти на списання майна;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3.7.4. інші документи (копія акта про аварію, висновки відповідних інспекцій, державних органів тощо (за наявності).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3.8. 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3.9. 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3.10. 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3.11. 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3.12. 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3.13. Протокол засідання комісії, акт інвентаризації, акти на списання майна та технічного стану затверджуються керівником суб’єкта  господарювання. </w:t>
      </w:r>
    </w:p>
    <w:p w:rsidR="00D279F7" w:rsidRDefault="00D279F7" w:rsidP="002D0E32">
      <w:pPr>
        <w:pStyle w:val="3"/>
        <w:spacing w:before="0" w:after="0"/>
        <w:ind w:right="-141"/>
        <w:jc w:val="center"/>
        <w:rPr>
          <w:sz w:val="28"/>
          <w:szCs w:val="28"/>
          <w:lang w:val="uk-UA"/>
        </w:rPr>
      </w:pPr>
    </w:p>
    <w:p w:rsidR="006130A6" w:rsidRPr="00162879" w:rsidRDefault="006130A6" w:rsidP="002D0E32">
      <w:pPr>
        <w:pStyle w:val="3"/>
        <w:spacing w:before="0" w:after="0"/>
        <w:ind w:right="-141"/>
        <w:jc w:val="center"/>
        <w:rPr>
          <w:sz w:val="28"/>
          <w:szCs w:val="28"/>
          <w:lang w:val="uk-UA"/>
        </w:rPr>
      </w:pPr>
      <w:r w:rsidRPr="00162879">
        <w:rPr>
          <w:sz w:val="28"/>
          <w:szCs w:val="28"/>
          <w:lang w:val="uk-UA"/>
        </w:rPr>
        <w:t>4. Механізм списання майна</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4.1. Розбирання та демонтаж майна, що пропонується до списання, проводиться тільки після прийняття відповідним суб'єктом управління рішення про надання згоди (згідно з цим Положенням) на списання майна (крім випадків пошкодження майна внаслідок аварії чи стихійного лиха).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4.2. Розбирання, демонтаж та списання майна, а також відображення на рахунках бухгалтерського обліку фактів проведення відповідних господарських </w:t>
      </w:r>
      <w:r w:rsidRPr="00162879">
        <w:rPr>
          <w:sz w:val="28"/>
          <w:szCs w:val="28"/>
          <w:lang w:val="uk-UA"/>
        </w:rPr>
        <w:lastRenderedPageBreak/>
        <w:t xml:space="preserve">операцій згідно з цим Порядком забезпечується безпосередньо суб’єктом господарювання, на балансі якого перебуває майно.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4.3.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Непридатні для використання вузли, деталі, матеріали та агрегати оприбутковуються як вторинна сировина (металобрухт тощо).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4.4. Оцінка придатних вузлів, деталей, матеріалів та агрегатів, отриманих в результаті списання майна, проводиться відповідно до законодавства.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4.5.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4.6.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4.7. Кошти, що надійшли в результаті списання майна, спрямовуються відповідно до вимог</w:t>
      </w:r>
      <w:r w:rsidR="0072392E" w:rsidRPr="00162879">
        <w:rPr>
          <w:sz w:val="28"/>
          <w:szCs w:val="28"/>
        </w:rPr>
        <w:t xml:space="preserve"> </w:t>
      </w:r>
      <w:r w:rsidR="0072392E" w:rsidRPr="00162879">
        <w:rPr>
          <w:sz w:val="28"/>
          <w:szCs w:val="28"/>
          <w:lang w:val="uk-UA"/>
        </w:rPr>
        <w:t>чинного</w:t>
      </w:r>
      <w:r w:rsidRPr="00162879">
        <w:rPr>
          <w:sz w:val="28"/>
          <w:szCs w:val="28"/>
          <w:lang w:val="uk-UA"/>
        </w:rPr>
        <w:t xml:space="preserve"> законодавства.</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4.8. Суб’єкти господарювання, на балансі яких перебувало майно, подають суб'єкту управління у місячний строк після закінчення процедури розбирання, демонтажу та оприбуткування звіт про списання майна. У разі наявності зауважень до звіту суб'єкт управління повертає його суб'єктові господарювання для врахування зауважень та подання протягом 10 робочих днів звіту для нового розгляду.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4.9. Процедура списання майна вважається закінченою з моменту подання суб'єктом господарювання суб'єкту управління звіту про списання майна.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4.10. Керівник суб’єкту господарювання та члени комісії забезпечують згідно із законодавством подання суб'єкту управління достовірних матеріалів, передбачених цим Положенням.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4.11. Керівник суб’єкту господарювання організовує та забезпечує дотримання процедури списання майна відповідно до цього Положення. </w:t>
      </w:r>
    </w:p>
    <w:p w:rsidR="006130A6" w:rsidRPr="00162879" w:rsidRDefault="006130A6" w:rsidP="002D0E32">
      <w:pPr>
        <w:pStyle w:val="a6"/>
        <w:spacing w:before="0" w:after="0"/>
        <w:ind w:right="-141" w:firstLine="708"/>
        <w:jc w:val="both"/>
        <w:rPr>
          <w:sz w:val="28"/>
          <w:szCs w:val="28"/>
          <w:lang w:val="uk-UA"/>
        </w:rPr>
      </w:pPr>
      <w:r w:rsidRPr="00162879">
        <w:rPr>
          <w:sz w:val="28"/>
          <w:szCs w:val="28"/>
          <w:lang w:val="uk-UA"/>
        </w:rPr>
        <w:t xml:space="preserve">4.12. Суб'єкт управління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 </w:t>
      </w:r>
    </w:p>
    <w:sectPr w:rsidR="006130A6" w:rsidRPr="00162879" w:rsidSect="000D71AC">
      <w:headerReference w:type="default" r:id="rId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45F" w:rsidRDefault="000B345F" w:rsidP="00095DE2">
      <w:r>
        <w:separator/>
      </w:r>
    </w:p>
  </w:endnote>
  <w:endnote w:type="continuationSeparator" w:id="1">
    <w:p w:rsidR="000B345F" w:rsidRDefault="000B345F" w:rsidP="00095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45F" w:rsidRDefault="000B345F" w:rsidP="00095DE2">
      <w:r>
        <w:separator/>
      </w:r>
    </w:p>
  </w:footnote>
  <w:footnote w:type="continuationSeparator" w:id="1">
    <w:p w:rsidR="000B345F" w:rsidRDefault="000B345F" w:rsidP="00095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41110"/>
      <w:docPartObj>
        <w:docPartGallery w:val="Page Numbers (Top of Page)"/>
        <w:docPartUnique/>
      </w:docPartObj>
    </w:sdtPr>
    <w:sdtContent>
      <w:p w:rsidR="00095DE2" w:rsidRDefault="00491119">
        <w:pPr>
          <w:pStyle w:val="aa"/>
          <w:jc w:val="center"/>
        </w:pPr>
        <w:fldSimple w:instr=" PAGE   \* MERGEFORMAT ">
          <w:r w:rsidR="000F3771">
            <w:rPr>
              <w:noProof/>
            </w:rPr>
            <w:t>6</w:t>
          </w:r>
        </w:fldSimple>
      </w:p>
    </w:sdtContent>
  </w:sdt>
  <w:p w:rsidR="00095DE2" w:rsidRDefault="00095DE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E7B5C"/>
    <w:rsid w:val="00050ED1"/>
    <w:rsid w:val="00071CAD"/>
    <w:rsid w:val="00095DE2"/>
    <w:rsid w:val="000B345F"/>
    <w:rsid w:val="000B67F9"/>
    <w:rsid w:val="000D71AC"/>
    <w:rsid w:val="000E1E5F"/>
    <w:rsid w:val="000F3771"/>
    <w:rsid w:val="00122C30"/>
    <w:rsid w:val="00162879"/>
    <w:rsid w:val="002D0E32"/>
    <w:rsid w:val="003364BC"/>
    <w:rsid w:val="003803B0"/>
    <w:rsid w:val="003A5538"/>
    <w:rsid w:val="003E0578"/>
    <w:rsid w:val="003E4D22"/>
    <w:rsid w:val="0044482B"/>
    <w:rsid w:val="00491119"/>
    <w:rsid w:val="004A13E3"/>
    <w:rsid w:val="00510D20"/>
    <w:rsid w:val="00512CC6"/>
    <w:rsid w:val="00523C61"/>
    <w:rsid w:val="005307B4"/>
    <w:rsid w:val="00535991"/>
    <w:rsid w:val="00536549"/>
    <w:rsid w:val="005940E9"/>
    <w:rsid w:val="005D6E9A"/>
    <w:rsid w:val="006130A6"/>
    <w:rsid w:val="006938E6"/>
    <w:rsid w:val="006A31D3"/>
    <w:rsid w:val="006C4684"/>
    <w:rsid w:val="006D366D"/>
    <w:rsid w:val="0072392E"/>
    <w:rsid w:val="007748BA"/>
    <w:rsid w:val="008D4A93"/>
    <w:rsid w:val="00916D8D"/>
    <w:rsid w:val="0096163A"/>
    <w:rsid w:val="009B28C7"/>
    <w:rsid w:val="009E7EE6"/>
    <w:rsid w:val="00A1034C"/>
    <w:rsid w:val="00A37A38"/>
    <w:rsid w:val="00A44143"/>
    <w:rsid w:val="00AB56E2"/>
    <w:rsid w:val="00BA3EA2"/>
    <w:rsid w:val="00C06CAB"/>
    <w:rsid w:val="00C40E89"/>
    <w:rsid w:val="00C47DEF"/>
    <w:rsid w:val="00C70D71"/>
    <w:rsid w:val="00CB0BDC"/>
    <w:rsid w:val="00CD7E5D"/>
    <w:rsid w:val="00D279F7"/>
    <w:rsid w:val="00D42BBC"/>
    <w:rsid w:val="00DC4D8A"/>
    <w:rsid w:val="00E5526A"/>
    <w:rsid w:val="00EE7B5C"/>
    <w:rsid w:val="00F21391"/>
    <w:rsid w:val="00F22CB3"/>
    <w:rsid w:val="00F90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A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130A6"/>
    <w:pPr>
      <w:keepNext/>
      <w:numPr>
        <w:numId w:val="1"/>
      </w:numPr>
      <w:spacing w:before="240" w:after="60"/>
      <w:outlineLvl w:val="0"/>
    </w:pPr>
    <w:rPr>
      <w:rFonts w:ascii="Arial" w:hAnsi="Arial" w:cs="Arial"/>
      <w:b/>
      <w:bCs/>
      <w:kern w:val="1"/>
      <w:sz w:val="32"/>
      <w:szCs w:val="32"/>
    </w:rPr>
  </w:style>
  <w:style w:type="paragraph" w:styleId="3">
    <w:name w:val="heading 3"/>
    <w:basedOn w:val="a"/>
    <w:next w:val="a0"/>
    <w:link w:val="30"/>
    <w:qFormat/>
    <w:rsid w:val="006130A6"/>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30A6"/>
    <w:rPr>
      <w:rFonts w:ascii="Arial" w:eastAsia="Times New Roman" w:hAnsi="Arial" w:cs="Arial"/>
      <w:b/>
      <w:bCs/>
      <w:kern w:val="1"/>
      <w:sz w:val="32"/>
      <w:szCs w:val="32"/>
      <w:lang w:eastAsia="ar-SA"/>
    </w:rPr>
  </w:style>
  <w:style w:type="character" w:customStyle="1" w:styleId="30">
    <w:name w:val="Заголовок 3 Знак"/>
    <w:basedOn w:val="a1"/>
    <w:link w:val="3"/>
    <w:rsid w:val="006130A6"/>
    <w:rPr>
      <w:rFonts w:ascii="Times New Roman" w:eastAsia="Times New Roman" w:hAnsi="Times New Roman" w:cs="Times New Roman"/>
      <w:b/>
      <w:bCs/>
      <w:sz w:val="27"/>
      <w:szCs w:val="27"/>
      <w:lang w:eastAsia="ar-SA"/>
    </w:rPr>
  </w:style>
  <w:style w:type="character" w:styleId="a4">
    <w:name w:val="Strong"/>
    <w:uiPriority w:val="22"/>
    <w:qFormat/>
    <w:rsid w:val="006130A6"/>
    <w:rPr>
      <w:b/>
      <w:bCs/>
    </w:rPr>
  </w:style>
  <w:style w:type="paragraph" w:styleId="a0">
    <w:name w:val="Body Text"/>
    <w:basedOn w:val="a"/>
    <w:link w:val="a5"/>
    <w:rsid w:val="006130A6"/>
    <w:pPr>
      <w:spacing w:after="120"/>
    </w:pPr>
  </w:style>
  <w:style w:type="character" w:customStyle="1" w:styleId="a5">
    <w:name w:val="Основной текст Знак"/>
    <w:basedOn w:val="a1"/>
    <w:link w:val="a0"/>
    <w:rsid w:val="006130A6"/>
    <w:rPr>
      <w:rFonts w:ascii="Times New Roman" w:eastAsia="Times New Roman" w:hAnsi="Times New Roman" w:cs="Times New Roman"/>
      <w:sz w:val="24"/>
      <w:szCs w:val="24"/>
      <w:lang w:eastAsia="ar-S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rsid w:val="006130A6"/>
    <w:pPr>
      <w:spacing w:before="280" w:after="280"/>
    </w:pPr>
  </w:style>
  <w:style w:type="paragraph" w:styleId="a8">
    <w:name w:val="Balloon Text"/>
    <w:basedOn w:val="a"/>
    <w:link w:val="a9"/>
    <w:uiPriority w:val="99"/>
    <w:semiHidden/>
    <w:unhideWhenUsed/>
    <w:rsid w:val="006130A6"/>
    <w:rPr>
      <w:rFonts w:ascii="Tahoma" w:hAnsi="Tahoma" w:cs="Tahoma"/>
      <w:sz w:val="16"/>
      <w:szCs w:val="16"/>
    </w:rPr>
  </w:style>
  <w:style w:type="character" w:customStyle="1" w:styleId="a9">
    <w:name w:val="Текст выноски Знак"/>
    <w:basedOn w:val="a1"/>
    <w:link w:val="a8"/>
    <w:uiPriority w:val="99"/>
    <w:semiHidden/>
    <w:rsid w:val="006130A6"/>
    <w:rPr>
      <w:rFonts w:ascii="Tahoma" w:eastAsia="Times New Roman" w:hAnsi="Tahoma" w:cs="Tahoma"/>
      <w:sz w:val="16"/>
      <w:szCs w:val="16"/>
      <w:lang w:eastAsia="ar-SA"/>
    </w:rPr>
  </w:style>
  <w:style w:type="paragraph" w:styleId="aa">
    <w:name w:val="header"/>
    <w:basedOn w:val="a"/>
    <w:link w:val="ab"/>
    <w:uiPriority w:val="99"/>
    <w:unhideWhenUsed/>
    <w:rsid w:val="00095DE2"/>
    <w:pPr>
      <w:tabs>
        <w:tab w:val="center" w:pos="4677"/>
        <w:tab w:val="right" w:pos="9355"/>
      </w:tabs>
    </w:pPr>
  </w:style>
  <w:style w:type="character" w:customStyle="1" w:styleId="ab">
    <w:name w:val="Верхний колонтитул Знак"/>
    <w:basedOn w:val="a1"/>
    <w:link w:val="aa"/>
    <w:uiPriority w:val="99"/>
    <w:rsid w:val="00095DE2"/>
    <w:rPr>
      <w:rFonts w:ascii="Times New Roman" w:eastAsia="Times New Roman" w:hAnsi="Times New Roman" w:cs="Times New Roman"/>
      <w:sz w:val="24"/>
      <w:szCs w:val="24"/>
      <w:lang w:eastAsia="ar-SA"/>
    </w:rPr>
  </w:style>
  <w:style w:type="paragraph" w:styleId="ac">
    <w:name w:val="footer"/>
    <w:basedOn w:val="a"/>
    <w:link w:val="ad"/>
    <w:uiPriority w:val="99"/>
    <w:semiHidden/>
    <w:unhideWhenUsed/>
    <w:rsid w:val="00095DE2"/>
    <w:pPr>
      <w:tabs>
        <w:tab w:val="center" w:pos="4677"/>
        <w:tab w:val="right" w:pos="9355"/>
      </w:tabs>
    </w:pPr>
  </w:style>
  <w:style w:type="character" w:customStyle="1" w:styleId="ad">
    <w:name w:val="Нижний колонтитул Знак"/>
    <w:basedOn w:val="a1"/>
    <w:link w:val="ac"/>
    <w:uiPriority w:val="99"/>
    <w:semiHidden/>
    <w:rsid w:val="00095DE2"/>
    <w:rPr>
      <w:rFonts w:ascii="Times New Roman" w:eastAsia="Times New Roman" w:hAnsi="Times New Roman" w:cs="Times New Roman"/>
      <w:sz w:val="24"/>
      <w:szCs w:val="24"/>
      <w:lang w:eastAsia="ar-SA"/>
    </w:rPr>
  </w:style>
  <w:style w:type="paragraph" w:customStyle="1" w:styleId="rvps1">
    <w:name w:val="rvps1"/>
    <w:basedOn w:val="a"/>
    <w:rsid w:val="005D6E9A"/>
    <w:pPr>
      <w:suppressAutoHyphens w:val="0"/>
      <w:spacing w:before="100" w:beforeAutospacing="1" w:after="100" w:afterAutospacing="1"/>
    </w:pPr>
    <w:rPr>
      <w:lang w:eastAsia="ru-RU"/>
    </w:rPr>
  </w:style>
  <w:style w:type="character" w:customStyle="1" w:styleId="rvts15">
    <w:name w:val="rvts15"/>
    <w:basedOn w:val="a1"/>
    <w:rsid w:val="005D6E9A"/>
  </w:style>
  <w:style w:type="paragraph" w:customStyle="1" w:styleId="rvps4">
    <w:name w:val="rvps4"/>
    <w:basedOn w:val="a"/>
    <w:rsid w:val="005D6E9A"/>
    <w:pPr>
      <w:suppressAutoHyphens w:val="0"/>
      <w:spacing w:before="100" w:beforeAutospacing="1" w:after="100" w:afterAutospacing="1"/>
    </w:pPr>
    <w:rPr>
      <w:lang w:eastAsia="ru-RU"/>
    </w:rPr>
  </w:style>
  <w:style w:type="character" w:customStyle="1" w:styleId="rvts23">
    <w:name w:val="rvts23"/>
    <w:basedOn w:val="a1"/>
    <w:rsid w:val="005D6E9A"/>
  </w:style>
  <w:style w:type="paragraph" w:customStyle="1" w:styleId="rvps7">
    <w:name w:val="rvps7"/>
    <w:basedOn w:val="a"/>
    <w:rsid w:val="005D6E9A"/>
    <w:pPr>
      <w:suppressAutoHyphens w:val="0"/>
      <w:spacing w:before="100" w:beforeAutospacing="1" w:after="100" w:afterAutospacing="1"/>
    </w:pPr>
    <w:rPr>
      <w:lang w:eastAsia="ru-RU"/>
    </w:rPr>
  </w:style>
  <w:style w:type="character" w:customStyle="1" w:styleId="rvts9">
    <w:name w:val="rvts9"/>
    <w:basedOn w:val="a1"/>
    <w:rsid w:val="005D6E9A"/>
  </w:style>
  <w:style w:type="paragraph" w:customStyle="1" w:styleId="rvps14">
    <w:name w:val="rvps14"/>
    <w:basedOn w:val="a"/>
    <w:rsid w:val="005D6E9A"/>
    <w:pPr>
      <w:suppressAutoHyphens w:val="0"/>
      <w:spacing w:before="100" w:beforeAutospacing="1" w:after="100" w:afterAutospacing="1"/>
    </w:pPr>
    <w:rPr>
      <w:lang w:eastAsia="ru-RU"/>
    </w:rPr>
  </w:style>
  <w:style w:type="paragraph" w:customStyle="1" w:styleId="rvps6">
    <w:name w:val="rvps6"/>
    <w:basedOn w:val="a"/>
    <w:rsid w:val="005D6E9A"/>
    <w:pPr>
      <w:suppressAutoHyphens w:val="0"/>
      <w:spacing w:before="100" w:beforeAutospacing="1" w:after="100" w:afterAutospacing="1"/>
    </w:pPr>
    <w:rPr>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748B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65920509">
      <w:bodyDiv w:val="1"/>
      <w:marLeft w:val="0"/>
      <w:marRight w:val="0"/>
      <w:marTop w:val="0"/>
      <w:marBottom w:val="0"/>
      <w:divBdr>
        <w:top w:val="none" w:sz="0" w:space="0" w:color="auto"/>
        <w:left w:val="none" w:sz="0" w:space="0" w:color="auto"/>
        <w:bottom w:val="none" w:sz="0" w:space="0" w:color="auto"/>
        <w:right w:val="none" w:sz="0" w:space="0" w:color="auto"/>
      </w:divBdr>
      <w:divsChild>
        <w:div w:id="1868829729">
          <w:marLeft w:val="0"/>
          <w:marRight w:val="0"/>
          <w:marTop w:val="91"/>
          <w:marBottom w:val="9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2302</Words>
  <Characters>13127</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2019-05-27T12:55:00Z</cp:lastPrinted>
  <dcterms:created xsi:type="dcterms:W3CDTF">2019-05-24T13:16:00Z</dcterms:created>
  <dcterms:modified xsi:type="dcterms:W3CDTF">2019-05-28T08:33:00Z</dcterms:modified>
</cp:coreProperties>
</file>